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D53C" w14:textId="77777777" w:rsidR="00116E13" w:rsidRDefault="00116E13" w:rsidP="00001E58">
      <w:pPr>
        <w:jc w:val="center"/>
        <w:rPr>
          <w:b/>
          <w:sz w:val="24"/>
        </w:rPr>
      </w:pPr>
    </w:p>
    <w:p w14:paraId="652ED53D" w14:textId="297FF834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424ACA" w:rsidRPr="00424ACA">
        <w:rPr>
          <w:b/>
          <w:bCs/>
          <w:sz w:val="24"/>
        </w:rPr>
        <w:tab/>
        <w:t>6-27/202</w:t>
      </w:r>
      <w:r w:rsidR="00E6332E">
        <w:rPr>
          <w:b/>
          <w:bCs/>
          <w:sz w:val="24"/>
        </w:rPr>
        <w:t>5/</w:t>
      </w:r>
      <w:r w:rsidR="006310A6">
        <w:rPr>
          <w:b/>
          <w:bCs/>
          <w:sz w:val="24"/>
        </w:rPr>
        <w:t>104</w:t>
      </w:r>
    </w:p>
    <w:p w14:paraId="652ED53E" w14:textId="77777777" w:rsidR="00BF0A63" w:rsidRDefault="00BF0A63" w:rsidP="00BF0A63">
      <w:pPr>
        <w:jc w:val="center"/>
        <w:rPr>
          <w:b/>
          <w:sz w:val="24"/>
        </w:rPr>
      </w:pPr>
    </w:p>
    <w:p w14:paraId="652ED53F" w14:textId="77777777" w:rsidR="00BF0A63" w:rsidRPr="00BF0A63" w:rsidRDefault="00BF0A63" w:rsidP="00BF0A63">
      <w:pPr>
        <w:rPr>
          <w:b/>
          <w:sz w:val="24"/>
        </w:rPr>
      </w:pPr>
    </w:p>
    <w:p w14:paraId="652ED540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652ED541" w14:textId="77777777" w:rsidR="00BF0A63" w:rsidRPr="00BF0A63" w:rsidRDefault="006310A6" w:rsidP="00BF0A63">
      <w:pPr>
        <w:tabs>
          <w:tab w:val="left" w:pos="6804"/>
        </w:tabs>
        <w:jc w:val="right"/>
        <w:rPr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300272534"/>
          <w:placeholder>
            <w:docPart w:val="8DE11A381EE14A7795477B24E7C8AAC6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F0A63" w:rsidRPr="00BF0A63">
            <w:rPr>
              <w:rFonts w:eastAsia="Calibri"/>
              <w:sz w:val="24"/>
              <w:szCs w:val="24"/>
            </w:rPr>
            <w:t>[Vali kuupäev]</w:t>
          </w:r>
        </w:sdtContent>
      </w:sdt>
    </w:p>
    <w:p w14:paraId="652ED542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0E3AE474" w14:textId="77777777" w:rsidR="00D549C9" w:rsidRDefault="00D549C9" w:rsidP="000A17B6">
      <w:pPr>
        <w:pStyle w:val="BodyText2"/>
        <w:jc w:val="both"/>
        <w:rPr>
          <w:szCs w:val="24"/>
        </w:rPr>
      </w:pPr>
    </w:p>
    <w:p w14:paraId="652ED543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652ED544" w14:textId="7E034015" w:rsidR="00BF0A63" w:rsidRDefault="00D36E64" w:rsidP="000A17B6">
      <w:pPr>
        <w:pStyle w:val="BodyText2"/>
        <w:jc w:val="both"/>
        <w:rPr>
          <w:rFonts w:eastAsia="Calibri"/>
        </w:rPr>
      </w:pPr>
      <w:r>
        <w:rPr>
          <w:szCs w:val="24"/>
        </w:rPr>
        <w:t>Saemeister OÜ</w:t>
      </w:r>
      <w:r w:rsidR="000A17B6"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121EBA06513D4F8E84C06B6DDB503FC3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C2426A">
            <w:t>volikirja</w:t>
          </w:r>
        </w:sdtContent>
      </w:sdt>
      <w:r w:rsidR="00342061">
        <w:rPr>
          <w:iCs/>
        </w:rPr>
        <w:t xml:space="preserve"> </w:t>
      </w:r>
      <w:r w:rsidR="00937F91" w:rsidRPr="005A1CA9">
        <w:rPr>
          <w:iCs/>
        </w:rPr>
        <w:t xml:space="preserve">alusel </w:t>
      </w:r>
      <w:r w:rsidR="006314B4">
        <w:rPr>
          <w:rFonts w:eastAsia="Calibri"/>
        </w:rPr>
        <w:t>Siim Hannus</w:t>
      </w:r>
      <w:r w:rsidR="00937F91">
        <w:rPr>
          <w:rFonts w:eastAsia="Calibri"/>
        </w:rPr>
        <w:t>, ühelt poolt,</w:t>
      </w:r>
    </w:p>
    <w:p w14:paraId="652ED545" w14:textId="77777777" w:rsidR="00FF4658" w:rsidRDefault="00FF4658">
      <w:pPr>
        <w:jc w:val="both"/>
        <w:rPr>
          <w:sz w:val="24"/>
        </w:rPr>
      </w:pPr>
    </w:p>
    <w:p w14:paraId="31B5DA20" w14:textId="703FD8F2" w:rsidR="009E1D9B" w:rsidRDefault="008E7572">
      <w:pPr>
        <w:jc w:val="both"/>
        <w:rPr>
          <w:sz w:val="24"/>
          <w:szCs w:val="24"/>
        </w:rPr>
      </w:pPr>
      <w:r w:rsidRPr="008E7572">
        <w:rPr>
          <w:sz w:val="24"/>
          <w:szCs w:val="24"/>
        </w:rPr>
        <w:t>Riigimetsa Majandamise Keskus, edaspidi tellija, keda esindab juhatuse liikme 16.01.2024 käskkirja nr 1-5/7 alusel Põhja-Eesti piirkonna juht Jaanus Käärma, ühelt poolt,</w:t>
      </w:r>
    </w:p>
    <w:p w14:paraId="2A4B1950" w14:textId="77777777" w:rsidR="008B64DE" w:rsidRPr="00C762F1" w:rsidRDefault="008B64DE">
      <w:pPr>
        <w:jc w:val="both"/>
        <w:rPr>
          <w:sz w:val="24"/>
          <w:szCs w:val="24"/>
        </w:rPr>
      </w:pPr>
    </w:p>
    <w:p w14:paraId="652ED548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652ED549" w14:textId="77777777" w:rsidR="00FF4658" w:rsidRDefault="00FF4658">
      <w:pPr>
        <w:jc w:val="both"/>
        <w:rPr>
          <w:sz w:val="24"/>
        </w:rPr>
      </w:pPr>
    </w:p>
    <w:p w14:paraId="652ED54A" w14:textId="0303AEB6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r w:rsidR="00E6332E">
        <w:rPr>
          <w:sz w:val="24"/>
          <w:szCs w:val="24"/>
          <w:lang w:eastAsia="et-EE"/>
        </w:rPr>
        <w:t xml:space="preserve">hinnapakkumiste </w:t>
      </w:r>
      <w:r w:rsidRPr="000E0CFA">
        <w:rPr>
          <w:sz w:val="24"/>
          <w:szCs w:val="24"/>
          <w:lang w:eastAsia="et-EE"/>
        </w:rPr>
        <w:t xml:space="preserve"> „</w:t>
      </w:r>
      <w:r w:rsidR="008501FE">
        <w:rPr>
          <w:rFonts w:eastAsia="Calibri"/>
          <w:sz w:val="24"/>
          <w:szCs w:val="24"/>
        </w:rPr>
        <w:t>Robot</w:t>
      </w:r>
      <w:r w:rsidR="00E806B0">
        <w:rPr>
          <w:rFonts w:eastAsia="Calibri"/>
          <w:sz w:val="24"/>
          <w:szCs w:val="24"/>
        </w:rPr>
        <w:t>niiduki ostmine</w:t>
      </w:r>
      <w:r w:rsidRPr="000E0CFA">
        <w:rPr>
          <w:sz w:val="24"/>
          <w:szCs w:val="24"/>
          <w:lang w:eastAsia="et-EE"/>
        </w:rPr>
        <w:t>“</w:t>
      </w:r>
      <w:r w:rsidR="004B3788">
        <w:rPr>
          <w:sz w:val="24"/>
          <w:szCs w:val="24"/>
          <w:lang w:eastAsia="et-EE"/>
        </w:rPr>
        <w:t xml:space="preserve"> </w:t>
      </w:r>
      <w:r w:rsidRPr="000E0CFA">
        <w:rPr>
          <w:sz w:val="24"/>
          <w:szCs w:val="24"/>
          <w:lang w:eastAsia="et-EE"/>
        </w:rPr>
        <w:t>tulemusena alljärgnevas:</w:t>
      </w:r>
    </w:p>
    <w:p w14:paraId="652ED54B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652ED54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0C225819" w14:textId="667BB7F4" w:rsidR="008B64DE" w:rsidRPr="008B64DE" w:rsidRDefault="00CD0A8B" w:rsidP="008B64DE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="000A17B6" w:rsidRPr="00A222B6">
        <w:rPr>
          <w:sz w:val="24"/>
          <w:szCs w:val="24"/>
        </w:rPr>
        <w:t xml:space="preserve">ostab </w:t>
      </w:r>
      <w:r w:rsidR="00E91602">
        <w:rPr>
          <w:sz w:val="24"/>
          <w:szCs w:val="24"/>
        </w:rPr>
        <w:t xml:space="preserve">ühe </w:t>
      </w:r>
      <w:r w:rsidR="008B64DE" w:rsidRPr="008B64DE">
        <w:rPr>
          <w:sz w:val="24"/>
          <w:szCs w:val="24"/>
        </w:rPr>
        <w:t>EGOPOWER+ kaablivaba robotniiduk</w:t>
      </w:r>
      <w:r w:rsidR="008B64DE">
        <w:rPr>
          <w:sz w:val="24"/>
          <w:szCs w:val="24"/>
        </w:rPr>
        <w:t>i</w:t>
      </w:r>
    </w:p>
    <w:p w14:paraId="652ED54D" w14:textId="1C9A7FB1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, </w:t>
      </w:r>
      <w:r w:rsidR="00FF4658" w:rsidRPr="00A222B6">
        <w:rPr>
          <w:sz w:val="24"/>
          <w:szCs w:val="24"/>
        </w:rPr>
        <w:t xml:space="preserve">edaspidi </w:t>
      </w:r>
      <w:r w:rsidRPr="00A222B6">
        <w:rPr>
          <w:b/>
          <w:bCs/>
          <w:sz w:val="24"/>
          <w:szCs w:val="24"/>
        </w:rPr>
        <w:t>v</w:t>
      </w:r>
      <w:r w:rsidR="00FF4658" w:rsidRPr="00A222B6">
        <w:rPr>
          <w:b/>
          <w:bCs/>
          <w:sz w:val="24"/>
          <w:szCs w:val="24"/>
        </w:rPr>
        <w:t>ara</w:t>
      </w:r>
      <w:r w:rsidRPr="00A222B6">
        <w:rPr>
          <w:sz w:val="24"/>
          <w:szCs w:val="24"/>
        </w:rPr>
        <w:t>, mille kohustub o</w:t>
      </w:r>
      <w:r w:rsidR="00FF4658" w:rsidRPr="00A222B6">
        <w:rPr>
          <w:sz w:val="24"/>
          <w:szCs w:val="24"/>
        </w:rPr>
        <w:t xml:space="preserve">stjale üle andma </w:t>
      </w:r>
      <w:r w:rsidR="00EC3D02">
        <w:rPr>
          <w:sz w:val="24"/>
          <w:szCs w:val="24"/>
        </w:rPr>
        <w:t>2</w:t>
      </w:r>
      <w:r w:rsidRPr="00A222B6">
        <w:rPr>
          <w:sz w:val="24"/>
          <w:szCs w:val="24"/>
        </w:rPr>
        <w:t xml:space="preserve"> päeva jooksul käesoleva l</w:t>
      </w:r>
      <w:r w:rsidR="00FF4658" w:rsidRPr="00A222B6">
        <w:rPr>
          <w:sz w:val="24"/>
          <w:szCs w:val="24"/>
        </w:rPr>
        <w:t xml:space="preserve">epingu allakirjutamisest. </w:t>
      </w:r>
      <w:r w:rsidR="004645FC">
        <w:rPr>
          <w:sz w:val="24"/>
          <w:szCs w:val="24"/>
        </w:rPr>
        <w:t xml:space="preserve">Vara hoitakse müüja laos ja </w:t>
      </w:r>
      <w:r w:rsidR="0016531F">
        <w:rPr>
          <w:sz w:val="24"/>
          <w:szCs w:val="24"/>
        </w:rPr>
        <w:t xml:space="preserve">antakse koos paigaldus juhistega vegetatsioonperioodi alguseks </w:t>
      </w:r>
      <w:r w:rsidR="00006A77">
        <w:rPr>
          <w:sz w:val="24"/>
          <w:szCs w:val="24"/>
        </w:rPr>
        <w:t>aprill 2026.</w:t>
      </w:r>
    </w:p>
    <w:p w14:paraId="652ED54E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4F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652ED550" w14:textId="525F13B9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E73114">
        <w:rPr>
          <w:sz w:val="24"/>
          <w:szCs w:val="24"/>
        </w:rPr>
        <w:t>2124,15</w:t>
      </w:r>
      <w:r w:rsidR="00EC3D02">
        <w:rPr>
          <w:sz w:val="24"/>
          <w:szCs w:val="24"/>
        </w:rPr>
        <w:t xml:space="preserve"> </w:t>
      </w:r>
      <w:r w:rsidRPr="00A222B6">
        <w:rPr>
          <w:sz w:val="24"/>
          <w:szCs w:val="24"/>
        </w:rPr>
        <w:t>(</w:t>
      </w:r>
      <w:r w:rsidR="00E73114">
        <w:rPr>
          <w:sz w:val="24"/>
          <w:szCs w:val="24"/>
        </w:rPr>
        <w:t>kaks</w:t>
      </w:r>
      <w:r w:rsidR="00890022">
        <w:rPr>
          <w:rFonts w:eastAsia="Calibri"/>
          <w:sz w:val="24"/>
          <w:szCs w:val="24"/>
        </w:rPr>
        <w:t xml:space="preserve">tuhat </w:t>
      </w:r>
      <w:r w:rsidR="00E73114">
        <w:rPr>
          <w:rFonts w:eastAsia="Calibri"/>
          <w:sz w:val="24"/>
          <w:szCs w:val="24"/>
        </w:rPr>
        <w:t>üks</w:t>
      </w:r>
      <w:r w:rsidR="00890022">
        <w:rPr>
          <w:rFonts w:eastAsia="Calibri"/>
          <w:sz w:val="24"/>
          <w:szCs w:val="24"/>
        </w:rPr>
        <w:t xml:space="preserve">sada </w:t>
      </w:r>
      <w:r w:rsidR="00E73114">
        <w:rPr>
          <w:rFonts w:eastAsia="Calibri"/>
          <w:sz w:val="24"/>
          <w:szCs w:val="24"/>
        </w:rPr>
        <w:t>kaks</w:t>
      </w:r>
      <w:r w:rsidR="00890022">
        <w:rPr>
          <w:rFonts w:eastAsia="Calibri"/>
          <w:sz w:val="24"/>
          <w:szCs w:val="24"/>
        </w:rPr>
        <w:t xml:space="preserve">kümmend </w:t>
      </w:r>
      <w:r w:rsidR="00DC007F">
        <w:rPr>
          <w:rFonts w:eastAsia="Calibri"/>
          <w:sz w:val="24"/>
          <w:szCs w:val="24"/>
        </w:rPr>
        <w:t>neli</w:t>
      </w:r>
      <w:r w:rsidR="00890022">
        <w:rPr>
          <w:rFonts w:eastAsia="Calibri"/>
          <w:sz w:val="24"/>
          <w:szCs w:val="24"/>
        </w:rPr>
        <w:t xml:space="preserve"> </w:t>
      </w:r>
      <w:r w:rsidR="00E91602">
        <w:rPr>
          <w:rFonts w:eastAsia="Calibri"/>
          <w:sz w:val="24"/>
          <w:szCs w:val="24"/>
        </w:rPr>
        <w:t xml:space="preserve">ja </w:t>
      </w:r>
      <w:r w:rsidR="00DC007F">
        <w:rPr>
          <w:rFonts w:eastAsia="Calibri"/>
          <w:sz w:val="24"/>
          <w:szCs w:val="24"/>
        </w:rPr>
        <w:t>15</w:t>
      </w:r>
      <w:r w:rsidR="00E91602">
        <w:rPr>
          <w:rFonts w:eastAsia="Calibri"/>
          <w:sz w:val="24"/>
          <w:szCs w:val="24"/>
        </w:rPr>
        <w:t xml:space="preserve"> senti)</w:t>
      </w:r>
      <w:r w:rsidR="0042126E" w:rsidRPr="00A222B6">
        <w:rPr>
          <w:sz w:val="24"/>
          <w:szCs w:val="24"/>
        </w:rPr>
        <w:t xml:space="preserve"> eurot</w:t>
      </w:r>
      <w:r w:rsidR="00FF4658" w:rsidRPr="00A222B6">
        <w:rPr>
          <w:sz w:val="24"/>
          <w:szCs w:val="24"/>
        </w:rPr>
        <w:t xml:space="preserve">. </w:t>
      </w:r>
    </w:p>
    <w:p w14:paraId="652ED551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52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652ED553" w14:textId="7B8C63F9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Ostja tasub saadud vara </w:t>
      </w:r>
      <w:r w:rsidR="00FF4658" w:rsidRPr="00A222B6">
        <w:rPr>
          <w:sz w:val="24"/>
          <w:szCs w:val="24"/>
        </w:rPr>
        <w:t>eest</w:t>
      </w:r>
      <w:r w:rsidR="000C3409">
        <w:rPr>
          <w:sz w:val="24"/>
          <w:szCs w:val="24"/>
        </w:rPr>
        <w:t xml:space="preserve"> e-arve alusel</w:t>
      </w:r>
      <w:r w:rsidR="00FF4658" w:rsidRPr="00A222B6">
        <w:rPr>
          <w:sz w:val="24"/>
          <w:szCs w:val="24"/>
        </w:rPr>
        <w:t xml:space="preserve">. </w:t>
      </w:r>
    </w:p>
    <w:p w14:paraId="652ED554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55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652ED556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>ara vastab lepingutingimustele ning kolmandatel iskutel</w:t>
      </w:r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652ED557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52ED558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652ED559" w14:textId="65C109E5" w:rsidR="00FF4658" w:rsidRPr="00A222B6" w:rsidRDefault="00FF4658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</w:p>
    <w:p w14:paraId="652ED55A" w14:textId="77777777" w:rsidR="000A17B6" w:rsidRPr="00A222B6" w:rsidRDefault="000A17B6" w:rsidP="002F5A22">
      <w:pPr>
        <w:jc w:val="both"/>
        <w:rPr>
          <w:sz w:val="24"/>
          <w:szCs w:val="24"/>
        </w:rPr>
      </w:pPr>
    </w:p>
    <w:p w14:paraId="652ED55B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üleandmine-vastuvôtmine</w:t>
      </w:r>
    </w:p>
    <w:p w14:paraId="652ED55C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652ED55D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652ED55E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652ED55F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60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Vastutus</w:t>
      </w:r>
    </w:p>
    <w:p w14:paraId="652ED561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lastRenderedPageBreak/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652ED562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652ED563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652ED564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52ED565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652ED566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>tide muutumisest. Juhul, kui le</w:t>
      </w:r>
      <w:r w:rsidRPr="00A222B6">
        <w:rPr>
          <w:sz w:val="24"/>
          <w:szCs w:val="24"/>
        </w:rPr>
        <w:t>pingu muutmise vajadus tuleneb õigusaktide muutumisest, teatab rendileandja sellest rentnikule kirjalikult 1 (üks) kuu ette.</w:t>
      </w:r>
    </w:p>
    <w:p w14:paraId="652ED567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652ED568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652ED569" w14:textId="112579DF" w:rsidR="002F5D6E" w:rsidRPr="00A222B6" w:rsidRDefault="006310A6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55B12AB43077491280966BF23D6F4DA9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9B2590">
            <w:rPr>
              <w:sz w:val="24"/>
              <w:szCs w:val="24"/>
            </w:rPr>
            <w:t>Leping on allkirjastatud digitaalselt.</w:t>
          </w:r>
        </w:sdtContent>
      </w:sdt>
    </w:p>
    <w:p w14:paraId="652ED56A" w14:textId="77777777" w:rsidR="002F5D6E" w:rsidRDefault="002F5D6E">
      <w:pPr>
        <w:jc w:val="both"/>
        <w:rPr>
          <w:b/>
          <w:bCs/>
          <w:sz w:val="24"/>
        </w:rPr>
      </w:pPr>
    </w:p>
    <w:p w14:paraId="652ED56B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652ED56C" w14:textId="77777777" w:rsidR="00BC487D" w:rsidRDefault="00BC487D">
      <w:pPr>
        <w:jc w:val="both"/>
        <w:rPr>
          <w:sz w:val="24"/>
        </w:rPr>
      </w:pPr>
    </w:p>
    <w:p w14:paraId="652ED56D" w14:textId="77777777" w:rsidR="00BC487D" w:rsidRPr="00A8126F" w:rsidRDefault="00BC487D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>Müüja</w:t>
      </w:r>
      <w:r>
        <w:rPr>
          <w:b/>
          <w:sz w:val="24"/>
        </w:rPr>
        <w:tab/>
      </w:r>
      <w:r w:rsidR="005E0AEE">
        <w:rPr>
          <w:b/>
          <w:sz w:val="24"/>
        </w:rPr>
        <w:tab/>
        <w:t xml:space="preserve">  </w:t>
      </w:r>
      <w:r>
        <w:rPr>
          <w:b/>
          <w:sz w:val="24"/>
        </w:rPr>
        <w:t>Ostja</w:t>
      </w:r>
    </w:p>
    <w:tbl>
      <w:tblPr>
        <w:tblStyle w:val="TableGrid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A8126F" w14:paraId="652ED570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6E" w14:textId="75C6DA4E" w:rsidR="00BC487D" w:rsidRPr="00A8126F" w:rsidRDefault="00162E65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Saemeister OÜ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6F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652ED573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1" w14:textId="07E155E5" w:rsidR="00BC487D" w:rsidRPr="00A8126F" w:rsidRDefault="00C03548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Registrikood</w:t>
            </w:r>
            <w:r w:rsidR="00C04D3E">
              <w:t xml:space="preserve"> </w:t>
            </w:r>
            <w:r w:rsidR="00C04D3E" w:rsidRPr="00C04D3E">
              <w:rPr>
                <w:sz w:val="24"/>
              </w:rPr>
              <w:t>10005547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2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52ED578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4" w14:textId="701BCF33" w:rsidR="00BC487D" w:rsidRDefault="009A6381" w:rsidP="00295CE1">
            <w:pPr>
              <w:jc w:val="both"/>
              <w:rPr>
                <w:sz w:val="24"/>
              </w:rPr>
            </w:pPr>
            <w:r w:rsidRPr="009A6381">
              <w:rPr>
                <w:sz w:val="24"/>
              </w:rPr>
              <w:t xml:space="preserve">Aardla 25, 50110 Tartu </w:t>
            </w:r>
          </w:p>
          <w:p w14:paraId="652ED575" w14:textId="417D350E" w:rsidR="00495E6D" w:rsidRPr="00A8126F" w:rsidRDefault="00495E6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9A6381" w:rsidRPr="009A6381">
              <w:rPr>
                <w:sz w:val="24"/>
              </w:rPr>
              <w:t>+372 5656 9125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6" w14:textId="77777777" w:rsidR="00495E6D" w:rsidRDefault="00495E6D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>
              <w:rPr>
                <w:sz w:val="24"/>
              </w:rPr>
              <w:t xml:space="preserve"> vald,</w:t>
            </w:r>
          </w:p>
          <w:p w14:paraId="652ED577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52ED57B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9" w14:textId="00325983" w:rsidR="00BC487D" w:rsidRPr="00A8126F" w:rsidRDefault="00495E6D" w:rsidP="00495E6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E-post </w:t>
            </w:r>
            <w:r w:rsidR="009B2590" w:rsidRPr="009B2590">
              <w:rPr>
                <w:sz w:val="24"/>
              </w:rPr>
              <w:t>saemeister@saemeister.ee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A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652ED57C" w14:textId="77777777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548">
        <w:rPr>
          <w:sz w:val="24"/>
        </w:rPr>
        <w:t xml:space="preserve">  </w:t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  <w:t xml:space="preserve">  </w:t>
      </w:r>
      <w:r>
        <w:rPr>
          <w:sz w:val="24"/>
        </w:rPr>
        <w:t>E-post rmk@rmk.ee</w:t>
      </w:r>
    </w:p>
    <w:p w14:paraId="652ED57D" w14:textId="77777777" w:rsidR="00A222B6" w:rsidRDefault="00A222B6" w:rsidP="00A222B6">
      <w:pPr>
        <w:rPr>
          <w:b/>
          <w:szCs w:val="24"/>
        </w:rPr>
      </w:pPr>
    </w:p>
    <w:tbl>
      <w:tblPr>
        <w:tblStyle w:val="TableGrid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652ED580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652ED57E" w14:textId="7CDCDD85" w:rsidR="00A222B6" w:rsidRPr="00A222B6" w:rsidRDefault="006310A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45D737DE374B4413865DCA28D9EA786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9B259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652ED57F" w14:textId="51B660D3" w:rsidR="00A222B6" w:rsidRPr="00A222B6" w:rsidRDefault="006310A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D31EEF33B77E448D9CB58C4650604F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9B259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652ED585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652ED581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652ED582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52ED583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52ED584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652ED58A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652ED586" w14:textId="2B9F0067" w:rsidR="00A222B6" w:rsidRPr="00A222B6" w:rsidRDefault="00F41F8A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Siim Hannus</w:t>
            </w:r>
          </w:p>
        </w:tc>
        <w:tc>
          <w:tcPr>
            <w:tcW w:w="4192" w:type="dxa"/>
            <w:vAlign w:val="bottom"/>
            <w:hideMark/>
          </w:tcPr>
          <w:p w14:paraId="652ED587" w14:textId="77661613" w:rsidR="00A222B6" w:rsidRPr="00A222B6" w:rsidRDefault="00F41F8A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Jaanus Käärma</w:t>
            </w:r>
          </w:p>
        </w:tc>
        <w:tc>
          <w:tcPr>
            <w:tcW w:w="710" w:type="dxa"/>
          </w:tcPr>
          <w:p w14:paraId="652ED588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652ED589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652ED58B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7"/>
      <w:headerReference w:type="default" r:id="rId8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D58E" w14:textId="77777777" w:rsidR="00A1303E" w:rsidRDefault="00A1303E">
      <w:r>
        <w:separator/>
      </w:r>
    </w:p>
  </w:endnote>
  <w:endnote w:type="continuationSeparator" w:id="0">
    <w:p w14:paraId="652ED58F" w14:textId="77777777" w:rsidR="00A1303E" w:rsidRDefault="00A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D58C" w14:textId="77777777" w:rsidR="00A1303E" w:rsidRDefault="00A1303E">
      <w:r>
        <w:separator/>
      </w:r>
    </w:p>
  </w:footnote>
  <w:footnote w:type="continuationSeparator" w:id="0">
    <w:p w14:paraId="652ED58D" w14:textId="77777777" w:rsidR="00A1303E" w:rsidRDefault="00A1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D590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ED591" w14:textId="77777777" w:rsidR="00001E58" w:rsidRDefault="00001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D592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7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ED593" w14:textId="77777777" w:rsidR="00001E58" w:rsidRPr="00001E58" w:rsidRDefault="00001E58" w:rsidP="00116E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31940042">
    <w:abstractNumId w:val="0"/>
  </w:num>
  <w:num w:numId="2" w16cid:durableId="1365904567">
    <w:abstractNumId w:val="2"/>
  </w:num>
  <w:num w:numId="3" w16cid:durableId="82119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E6"/>
    <w:rsid w:val="00001E58"/>
    <w:rsid w:val="00006A77"/>
    <w:rsid w:val="00053571"/>
    <w:rsid w:val="000A17B6"/>
    <w:rsid w:val="000A3F87"/>
    <w:rsid w:val="000C3409"/>
    <w:rsid w:val="000C4B95"/>
    <w:rsid w:val="000E0CFA"/>
    <w:rsid w:val="00116E13"/>
    <w:rsid w:val="00135924"/>
    <w:rsid w:val="001524DB"/>
    <w:rsid w:val="00160E31"/>
    <w:rsid w:val="00162E65"/>
    <w:rsid w:val="0016531F"/>
    <w:rsid w:val="0016780D"/>
    <w:rsid w:val="00174068"/>
    <w:rsid w:val="00193DC6"/>
    <w:rsid w:val="001A0A50"/>
    <w:rsid w:val="001D1C87"/>
    <w:rsid w:val="00215CB7"/>
    <w:rsid w:val="002326CA"/>
    <w:rsid w:val="002522FF"/>
    <w:rsid w:val="00257477"/>
    <w:rsid w:val="00260DE6"/>
    <w:rsid w:val="002F5A22"/>
    <w:rsid w:val="002F5D6E"/>
    <w:rsid w:val="00315825"/>
    <w:rsid w:val="00342061"/>
    <w:rsid w:val="00376724"/>
    <w:rsid w:val="003C5EAB"/>
    <w:rsid w:val="004002AC"/>
    <w:rsid w:val="0042126E"/>
    <w:rsid w:val="00424ACA"/>
    <w:rsid w:val="00455A87"/>
    <w:rsid w:val="004645FC"/>
    <w:rsid w:val="00495E6D"/>
    <w:rsid w:val="004A7E08"/>
    <w:rsid w:val="004B3788"/>
    <w:rsid w:val="00507822"/>
    <w:rsid w:val="00514AF9"/>
    <w:rsid w:val="005346B3"/>
    <w:rsid w:val="005657EC"/>
    <w:rsid w:val="005A72AD"/>
    <w:rsid w:val="005C78B8"/>
    <w:rsid w:val="005E0AEE"/>
    <w:rsid w:val="0061754F"/>
    <w:rsid w:val="006310A6"/>
    <w:rsid w:val="006314B4"/>
    <w:rsid w:val="00646A9F"/>
    <w:rsid w:val="006471CF"/>
    <w:rsid w:val="007102FD"/>
    <w:rsid w:val="00710A4D"/>
    <w:rsid w:val="007567B8"/>
    <w:rsid w:val="0076624A"/>
    <w:rsid w:val="007B5878"/>
    <w:rsid w:val="007D6FCF"/>
    <w:rsid w:val="007E1E13"/>
    <w:rsid w:val="00823645"/>
    <w:rsid w:val="008419B1"/>
    <w:rsid w:val="008501FE"/>
    <w:rsid w:val="00856A95"/>
    <w:rsid w:val="00890022"/>
    <w:rsid w:val="008B64DE"/>
    <w:rsid w:val="008E7572"/>
    <w:rsid w:val="00937F91"/>
    <w:rsid w:val="00952FA2"/>
    <w:rsid w:val="0098593A"/>
    <w:rsid w:val="009A6381"/>
    <w:rsid w:val="009B2590"/>
    <w:rsid w:val="009B7BFD"/>
    <w:rsid w:val="009E1D9B"/>
    <w:rsid w:val="00A1303E"/>
    <w:rsid w:val="00A222B6"/>
    <w:rsid w:val="00A67302"/>
    <w:rsid w:val="00A7198C"/>
    <w:rsid w:val="00AB1925"/>
    <w:rsid w:val="00AC031D"/>
    <w:rsid w:val="00AF5453"/>
    <w:rsid w:val="00BC487D"/>
    <w:rsid w:val="00BD75AE"/>
    <w:rsid w:val="00BF0A63"/>
    <w:rsid w:val="00C02389"/>
    <w:rsid w:val="00C03548"/>
    <w:rsid w:val="00C04D3E"/>
    <w:rsid w:val="00C10FA3"/>
    <w:rsid w:val="00C2426A"/>
    <w:rsid w:val="00C345C9"/>
    <w:rsid w:val="00C4236F"/>
    <w:rsid w:val="00C61A06"/>
    <w:rsid w:val="00C762F1"/>
    <w:rsid w:val="00C97FCC"/>
    <w:rsid w:val="00CA4EAC"/>
    <w:rsid w:val="00CD0A8B"/>
    <w:rsid w:val="00CF3E87"/>
    <w:rsid w:val="00D016BF"/>
    <w:rsid w:val="00D36E64"/>
    <w:rsid w:val="00D549C9"/>
    <w:rsid w:val="00D73769"/>
    <w:rsid w:val="00DC007F"/>
    <w:rsid w:val="00DF030D"/>
    <w:rsid w:val="00DF1C9F"/>
    <w:rsid w:val="00E1252D"/>
    <w:rsid w:val="00E20C9A"/>
    <w:rsid w:val="00E220E5"/>
    <w:rsid w:val="00E6332E"/>
    <w:rsid w:val="00E67EB3"/>
    <w:rsid w:val="00E73114"/>
    <w:rsid w:val="00E806B0"/>
    <w:rsid w:val="00E91602"/>
    <w:rsid w:val="00E96A4F"/>
    <w:rsid w:val="00EC3D02"/>
    <w:rsid w:val="00EE0A3A"/>
    <w:rsid w:val="00EE7062"/>
    <w:rsid w:val="00EF2C43"/>
    <w:rsid w:val="00F41F8A"/>
    <w:rsid w:val="00F8083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ED53C"/>
  <w15:docId w15:val="{BFBA007A-71CD-47DA-A9D4-8C2FBD22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Footer">
    <w:name w:val="footer"/>
    <w:basedOn w:val="Normal"/>
    <w:rsid w:val="00001E5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002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02AC"/>
  </w:style>
  <w:style w:type="character" w:customStyle="1" w:styleId="CommentTextChar">
    <w:name w:val="Comment Text Char"/>
    <w:basedOn w:val="DefaultParagraphFont"/>
    <w:link w:val="CommentText"/>
    <w:semiHidden/>
    <w:rsid w:val="004002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l"/>
    <w:rsid w:val="00A222B6"/>
    <w:pPr>
      <w:numPr>
        <w:numId w:val="2"/>
      </w:numPr>
    </w:pPr>
  </w:style>
  <w:style w:type="paragraph" w:customStyle="1" w:styleId="Pealkiri21">
    <w:name w:val="Pealkiri 21"/>
    <w:basedOn w:val="Normal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l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l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l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l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l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l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l"/>
    <w:rsid w:val="00A222B6"/>
    <w:pPr>
      <w:numPr>
        <w:ilvl w:val="8"/>
        <w:numId w:val="2"/>
      </w:numPr>
    </w:pPr>
  </w:style>
  <w:style w:type="paragraph" w:styleId="ListParagraph">
    <w:name w:val="List Paragraph"/>
    <w:basedOn w:val="Normal"/>
    <w:uiPriority w:val="34"/>
    <w:qFormat/>
    <w:rsid w:val="00A2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Temp\10\m&#252;&#252;gileping,%20kus%20rmk%20on%20ost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E11A381EE14A7795477B24E7C8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EA79-0E9A-4D93-BD46-0B2D9A6BC873}"/>
      </w:docPartPr>
      <w:docPartBody>
        <w:p w:rsidR="00936AE2" w:rsidRDefault="00A470C9">
          <w:pPr>
            <w:pStyle w:val="8DE11A381EE14A7795477B24E7C8AAC6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121EBA06513D4F8E84C06B6DDB503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B0A5-E6C3-4FAA-AB5C-0C56B439B4BF}"/>
      </w:docPartPr>
      <w:docPartBody>
        <w:p w:rsidR="00936AE2" w:rsidRDefault="00A470C9">
          <w:pPr>
            <w:pStyle w:val="121EBA06513D4F8E84C06B6DDB503FC3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5B12AB43077491280966BF23D6F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DF11-9869-4FFE-BAA7-8DAE227CF04C}"/>
      </w:docPartPr>
      <w:docPartBody>
        <w:p w:rsidR="00936AE2" w:rsidRDefault="00A470C9">
          <w:pPr>
            <w:pStyle w:val="55B12AB43077491280966BF23D6F4DA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D737DE374B4413865DCA28D9EA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0C00-9909-4808-8C27-019AA8DBAD98}"/>
      </w:docPartPr>
      <w:docPartBody>
        <w:p w:rsidR="00936AE2" w:rsidRDefault="00A470C9">
          <w:pPr>
            <w:pStyle w:val="45D737DE374B4413865DCA28D9EA786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31EEF33B77E448D9CB58C465060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90BE-4D6C-484B-AD2A-EB58F7EB5D73}"/>
      </w:docPartPr>
      <w:docPartBody>
        <w:p w:rsidR="00936AE2" w:rsidRDefault="00A470C9">
          <w:pPr>
            <w:pStyle w:val="D31EEF33B77E448D9CB58C4650604F7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E2"/>
    <w:rsid w:val="000A3F87"/>
    <w:rsid w:val="0016780D"/>
    <w:rsid w:val="007567B8"/>
    <w:rsid w:val="007B5878"/>
    <w:rsid w:val="00936AE2"/>
    <w:rsid w:val="00A4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DE11A381EE14A7795477B24E7C8AAC6">
    <w:name w:val="8DE11A381EE14A7795477B24E7C8AAC6"/>
  </w:style>
  <w:style w:type="paragraph" w:customStyle="1" w:styleId="121EBA06513D4F8E84C06B6DDB503FC3">
    <w:name w:val="121EBA06513D4F8E84C06B6DDB503FC3"/>
  </w:style>
  <w:style w:type="paragraph" w:customStyle="1" w:styleId="E30F68BFA1F14D6FBB90A5C5C0CBF872">
    <w:name w:val="E30F68BFA1F14D6FBB90A5C5C0CBF872"/>
  </w:style>
  <w:style w:type="paragraph" w:customStyle="1" w:styleId="55B12AB43077491280966BF23D6F4DA9">
    <w:name w:val="55B12AB43077491280966BF23D6F4DA9"/>
  </w:style>
  <w:style w:type="paragraph" w:customStyle="1" w:styleId="45D737DE374B4413865DCA28D9EA7868">
    <w:name w:val="45D737DE374B4413865DCA28D9EA7868"/>
  </w:style>
  <w:style w:type="paragraph" w:customStyle="1" w:styleId="D31EEF33B77E448D9CB58C4650604F75">
    <w:name w:val="D31EEF33B77E448D9CB58C4650604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müügileping, kus rmk on ostja.dotx</Template>
  <TotalTime>41</TotalTime>
  <Pages>2</Pages>
  <Words>427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leping</vt:lpstr>
      <vt:lpstr>leping</vt:lpstr>
    </vt:vector>
  </TitlesOfParts>
  <Company>Nixor AD Ltd.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Marge Rebane</dc:creator>
  <dc:description>ostu-müügileping kaupadele</dc:description>
  <cp:lastModifiedBy>Andri Plato</cp:lastModifiedBy>
  <cp:revision>35</cp:revision>
  <cp:lastPrinted>2003-04-08T06:30:00Z</cp:lastPrinted>
  <dcterms:created xsi:type="dcterms:W3CDTF">2019-04-25T09:21:00Z</dcterms:created>
  <dcterms:modified xsi:type="dcterms:W3CDTF">2025-12-01T11:34:00Z</dcterms:modified>
</cp:coreProperties>
</file>